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34" w:rsidRDefault="00315534" w:rsidP="00315534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Smith, “Democracy &amp; the Canadian House of Commons at the Millennium,” </w:t>
      </w:r>
      <w:r>
        <w:rPr>
          <w:rFonts w:ascii="Times New Roman" w:hAnsi="Times New Roman"/>
          <w:i/>
          <w:sz w:val="22"/>
        </w:rPr>
        <w:t>CPA</w:t>
      </w:r>
      <w:r>
        <w:rPr>
          <w:rFonts w:ascii="Times New Roman" w:hAnsi="Times New Roman"/>
          <w:sz w:val="22"/>
        </w:rPr>
        <w:t xml:space="preserve"> 42 (Winter 1999)</w:t>
      </w:r>
    </w:p>
    <w:p w:rsidR="00315534" w:rsidRDefault="00315534" w:rsidP="00315534">
      <w:pPr>
        <w:spacing w:after="120"/>
        <w:rPr>
          <w:rFonts w:ascii="Times New Roman" w:hAnsi="Times New Roman"/>
          <w:sz w:val="22"/>
        </w:rPr>
      </w:pPr>
    </w:p>
    <w:p w:rsidR="00315534" w:rsidRDefault="00315534" w:rsidP="00315534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315534" w:rsidRDefault="00315534" w:rsidP="00315534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Current HOC debate on democracy is not about democracy at all – rather it is about responsible govt. Smith links</w:t>
      </w:r>
      <w:r w:rsidR="003F0EFD">
        <w:rPr>
          <w:rFonts w:ascii="Times New Roman" w:hAnsi="Times New Roman"/>
          <w:sz w:val="22"/>
        </w:rPr>
        <w:t xml:space="preserve"> responsible </w:t>
      </w:r>
      <w:proofErr w:type="spellStart"/>
      <w:r w:rsidR="003F0EFD"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it with other major elements of the system of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, including the concept of political representation that is widely shared </w:t>
      </w:r>
      <w:proofErr w:type="gramStart"/>
      <w:r>
        <w:rPr>
          <w:rFonts w:ascii="Times New Roman" w:hAnsi="Times New Roman"/>
          <w:sz w:val="22"/>
        </w:rPr>
        <w:t xml:space="preserve">among </w:t>
      </w:r>
      <w:proofErr w:type="spellStart"/>
      <w:r>
        <w:rPr>
          <w:rFonts w:ascii="Times New Roman" w:hAnsi="Times New Roman"/>
          <w:sz w:val="22"/>
        </w:rPr>
        <w:t>Cdns</w:t>
      </w:r>
      <w:proofErr w:type="spellEnd"/>
      <w:r>
        <w:rPr>
          <w:rFonts w:ascii="Times New Roman" w:hAnsi="Times New Roman"/>
          <w:sz w:val="22"/>
        </w:rPr>
        <w:t>, electoral system,</w:t>
      </w:r>
      <w:proofErr w:type="gramEnd"/>
      <w:r>
        <w:rPr>
          <w:rFonts w:ascii="Times New Roman" w:hAnsi="Times New Roman"/>
          <w:sz w:val="22"/>
        </w:rPr>
        <w:t xml:space="preserve"> and the organization of HOC. Smith’s advice to reformers is </w:t>
      </w:r>
      <w:proofErr w:type="gramStart"/>
      <w:r>
        <w:rPr>
          <w:rFonts w:ascii="Times New Roman" w:hAnsi="Times New Roman"/>
          <w:sz w:val="22"/>
        </w:rPr>
        <w:t>consider</w:t>
      </w:r>
      <w:proofErr w:type="gramEnd"/>
      <w:r>
        <w:rPr>
          <w:rFonts w:ascii="Times New Roman" w:hAnsi="Times New Roman"/>
          <w:sz w:val="22"/>
        </w:rPr>
        <w:t xml:space="preserve"> the effects of radical reforms on the system as a whole.</w:t>
      </w:r>
    </w:p>
    <w:p w:rsidR="00315534" w:rsidRDefault="00315534" w:rsidP="00315534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315534" w:rsidRPr="00315534" w:rsidRDefault="00315534" w:rsidP="0031553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15534">
        <w:rPr>
          <w:rFonts w:ascii="Times New Roman" w:hAnsi="Times New Roman"/>
          <w:sz w:val="22"/>
        </w:rPr>
        <w:t>State of debate favours change as there are 2 reform camps (rather than a reform camp vs. a status-quo camp): there are (1) cautious reformers and (2) radical reformers</w:t>
      </w:r>
    </w:p>
    <w:p w:rsidR="00315534" w:rsidRDefault="00315534" w:rsidP="0031553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15534">
        <w:rPr>
          <w:rFonts w:ascii="Times New Roman" w:hAnsi="Times New Roman"/>
          <w:sz w:val="22"/>
          <w:u w:val="single"/>
        </w:rPr>
        <w:t>Cautious reformers</w:t>
      </w:r>
      <w:r>
        <w:rPr>
          <w:rFonts w:ascii="Times New Roman" w:hAnsi="Times New Roman"/>
          <w:sz w:val="22"/>
        </w:rPr>
        <w:t xml:space="preserve"> – want to reinvigorate role of ordinary MPs but maintain 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, the central convention being that the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be supported by a majority of the legislature</w:t>
      </w:r>
    </w:p>
    <w:p w:rsidR="00315534" w:rsidRDefault="00315534" w:rsidP="0031553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15534">
        <w:rPr>
          <w:rFonts w:ascii="Times New Roman" w:hAnsi="Times New Roman"/>
          <w:sz w:val="22"/>
          <w:u w:val="single"/>
        </w:rPr>
        <w:t>Radical reformers</w:t>
      </w:r>
      <w:r>
        <w:rPr>
          <w:rFonts w:ascii="Times New Roman" w:hAnsi="Times New Roman"/>
          <w:sz w:val="22"/>
        </w:rPr>
        <w:t xml:space="preserve"> – seek changes designed to enhance the role of the MP, to liberate the MP from party discipline. However, these reforms are far-reaching and would undermine 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</w:p>
    <w:p w:rsidR="00315534" w:rsidRDefault="00315534" w:rsidP="0031553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Radical reformers = Reform Party of Canada</w:t>
      </w:r>
    </w:p>
    <w:p w:rsidR="00315534" w:rsidRDefault="00315534" w:rsidP="0031553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As the basis for her paper, Smith argues:</w:t>
      </w:r>
    </w:p>
    <w:p w:rsidR="00315534" w:rsidRDefault="00315534" w:rsidP="0031553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is the issue dividing the two camps (not democracy)</w:t>
      </w:r>
    </w:p>
    <w:p w:rsidR="00315534" w:rsidRDefault="00315534" w:rsidP="0031553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Many of the radical reformers misunderstand 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</w:p>
    <w:p w:rsidR="003745A6" w:rsidRDefault="00315534" w:rsidP="00315534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correct understanding of 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had best be retrieved in order that </w:t>
      </w:r>
      <w:proofErr w:type="spellStart"/>
      <w:r>
        <w:rPr>
          <w:rFonts w:ascii="Times New Roman" w:hAnsi="Times New Roman"/>
          <w:sz w:val="22"/>
        </w:rPr>
        <w:t>Cdns</w:t>
      </w:r>
      <w:proofErr w:type="spellEnd"/>
      <w:r>
        <w:rPr>
          <w:rFonts w:ascii="Times New Roman" w:hAnsi="Times New Roman"/>
          <w:sz w:val="22"/>
        </w:rPr>
        <w:t xml:space="preserve"> not find themselves burdened by ill-conceived reforms</w:t>
      </w:r>
    </w:p>
    <w:p w:rsidR="003745A6" w:rsidRDefault="003745A6" w:rsidP="003745A6">
      <w:pPr>
        <w:pStyle w:val="ListParagraph"/>
        <w:spacing w:after="120"/>
        <w:rPr>
          <w:rFonts w:ascii="Times New Roman" w:hAnsi="Times New Roman"/>
          <w:sz w:val="22"/>
        </w:rPr>
      </w:pPr>
    </w:p>
    <w:p w:rsidR="003745A6" w:rsidRDefault="003745A6" w:rsidP="003745A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Traditional concept of representation – </w:t>
      </w:r>
    </w:p>
    <w:p w:rsidR="003745A6" w:rsidRDefault="003745A6" w:rsidP="003745A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HOC said to be principal democratic institution in the body politic because it is the principal agency of representation</w:t>
      </w:r>
    </w:p>
    <w:p w:rsidR="003745A6" w:rsidRDefault="003745A6" w:rsidP="003745A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Dawson’s conception of representation is based on the HOC as a microcosm of society – its members reflective of the diversity within the body politic</w:t>
      </w:r>
    </w:p>
    <w:p w:rsidR="003745A6" w:rsidRDefault="003745A6" w:rsidP="003745A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Delegate Theory vs. the Representative Theory:</w:t>
      </w:r>
    </w:p>
    <w:p w:rsidR="003745A6" w:rsidRDefault="003745A6" w:rsidP="003745A6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Delegate theory – the elected member is the voice of his constituency and strives to vote in accordance with the constituency’s wishes</w:t>
      </w:r>
    </w:p>
    <w:p w:rsidR="003745A6" w:rsidRDefault="003745A6" w:rsidP="003745A6">
      <w:pPr>
        <w:pStyle w:val="ListParagraph"/>
        <w:numPr>
          <w:ilvl w:val="2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Representative theory – the elected member is obliged only to take the views of the constituents into consideration (among several other considerations), and in the end exercise their own judgment</w:t>
      </w:r>
    </w:p>
    <w:p w:rsidR="003745A6" w:rsidRDefault="003745A6" w:rsidP="003745A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Basic organizational structure of HOC rooted in principle of 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– three fundamental organization rules flow forward:</w:t>
      </w:r>
    </w:p>
    <w:p w:rsidR="003745A6" w:rsidRDefault="003745A6" w:rsidP="003745A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Division of HOC into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and opposition</w:t>
      </w:r>
    </w:p>
    <w:p w:rsidR="003F0EFD" w:rsidRDefault="003745A6" w:rsidP="003745A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decision-making rule of the majority of those </w:t>
      </w:r>
      <w:r w:rsidR="003F0EFD">
        <w:rPr>
          <w:rFonts w:ascii="Times New Roman" w:hAnsi="Times New Roman"/>
          <w:sz w:val="22"/>
        </w:rPr>
        <w:t>present and voting</w:t>
      </w:r>
    </w:p>
    <w:p w:rsidR="003F0EFD" w:rsidRDefault="003F0EFD" w:rsidP="003745A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Separation between executive and legislative power that subsists in the HOC</w:t>
      </w:r>
    </w:p>
    <w:p w:rsidR="003F0EFD" w:rsidRDefault="003F0EFD" w:rsidP="003F0EFD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Demands for Change</w:t>
      </w:r>
    </w:p>
    <w:p w:rsidR="003F0EFD" w:rsidRPr="003F0EFD" w:rsidRDefault="003F0EFD" w:rsidP="003F0EFD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F0EFD">
        <w:rPr>
          <w:rFonts w:ascii="Times New Roman" w:hAnsi="Times New Roman"/>
          <w:sz w:val="22"/>
        </w:rPr>
        <w:t xml:space="preserve">Reform Party (in recent years) launched concentrated assault on responsible </w:t>
      </w:r>
      <w:proofErr w:type="spellStart"/>
      <w:r w:rsidRPr="003F0EFD">
        <w:rPr>
          <w:rFonts w:ascii="Times New Roman" w:hAnsi="Times New Roman"/>
          <w:sz w:val="22"/>
        </w:rPr>
        <w:t>govt</w:t>
      </w:r>
      <w:proofErr w:type="spellEnd"/>
      <w:r w:rsidRPr="003F0EFD">
        <w:rPr>
          <w:rFonts w:ascii="Times New Roman" w:hAnsi="Times New Roman"/>
          <w:sz w:val="22"/>
        </w:rPr>
        <w:t xml:space="preserve"> in the name of democracy</w:t>
      </w:r>
      <w:r>
        <w:rPr>
          <w:rFonts w:ascii="Times New Roman" w:hAnsi="Times New Roman"/>
          <w:sz w:val="22"/>
        </w:rPr>
        <w:t xml:space="preserve"> – central project being to institutionalize the idea of delegate representation</w:t>
      </w:r>
    </w:p>
    <w:p w:rsidR="003F0EFD" w:rsidRDefault="003F0EFD" w:rsidP="003F0EFD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Radical reformers have declined to pursue their thoughts on representation beyond the call for measures that would upset the system of government </w:t>
      </w:r>
    </w:p>
    <w:p w:rsidR="00315534" w:rsidRPr="003F0EFD" w:rsidRDefault="003F0EFD" w:rsidP="003F0EFD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By going after parts of responsible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in the name of democracy, rather than dealing with the system head on, radical reformers sow confusion about the system. </w:t>
      </w:r>
    </w:p>
    <w:p w:rsidR="00315534" w:rsidRDefault="00315534"/>
    <w:sectPr w:rsidR="00315534" w:rsidSect="00315534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34651"/>
    <w:multiLevelType w:val="hybridMultilevel"/>
    <w:tmpl w:val="B0CC2518"/>
    <w:lvl w:ilvl="0" w:tplc="FB70888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5534"/>
    <w:rsid w:val="00315534"/>
    <w:rsid w:val="003745A6"/>
    <w:rsid w:val="003F0EF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155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315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2012-05-02T18:15:00Z</dcterms:created>
  <dcterms:modified xsi:type="dcterms:W3CDTF">2012-05-02T18:48:00Z</dcterms:modified>
</cp:coreProperties>
</file>